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117" w:rsidRDefault="00117117" w:rsidP="00117117">
      <w:pPr>
        <w:widowControl w:val="0"/>
        <w:spacing w:before="100" w:beforeAutospacing="1" w:after="100" w:afterAutospacing="1" w:line="360" w:lineRule="auto"/>
        <w:ind w:right="-164"/>
        <w:jc w:val="both"/>
        <w:rPr>
          <w:rFonts w:ascii="Palatino Linotype" w:eastAsia="Calibri" w:hAnsi="Palatino Linotype" w:cs="Arial"/>
          <w:b/>
          <w:color w:val="000000"/>
        </w:rPr>
      </w:pPr>
      <w:r w:rsidRPr="009D3429">
        <w:rPr>
          <w:rFonts w:ascii="Palatino Linotype" w:hAnsi="Palatino Linotype" w:cs="Arial"/>
          <w:b/>
        </w:rPr>
        <w:t xml:space="preserve">VOTO PARTICULAR QUE FORMULA LA COMISIONADA EVA ABAID YAPUR, EN RELACIÓN CON LA RESOLUCIÓN DICTADA POR EL PLENO DEL INSTITUTO DE TRANSPARENCIA, ACCESO A LA INFORMACIÓN PÚBLICA Y PROTECCIÓN DE DATOS PERSONALES DEL ESTADO DE MÉXICO Y MUNICIPIOS, EN LA </w:t>
      </w:r>
      <w:r>
        <w:rPr>
          <w:rFonts w:ascii="Palatino Linotype" w:hAnsi="Palatino Linotype" w:cs="Arial"/>
          <w:b/>
        </w:rPr>
        <w:t>CUADRAGÉSIMA QUINTA SESIÓN</w:t>
      </w:r>
      <w:r w:rsidRPr="009D3429">
        <w:rPr>
          <w:rFonts w:ascii="Palatino Linotype" w:hAnsi="Palatino Linotype" w:cs="Arial"/>
          <w:b/>
        </w:rPr>
        <w:t xml:space="preserve"> ORDINARIA DE </w:t>
      </w:r>
      <w:r>
        <w:rPr>
          <w:rFonts w:ascii="Palatino Linotype" w:hAnsi="Palatino Linotype" w:cs="Arial"/>
          <w:b/>
        </w:rPr>
        <w:t xml:space="preserve">SEIS DE DICIEMBRE </w:t>
      </w:r>
      <w:r w:rsidRPr="009D3429">
        <w:rPr>
          <w:rFonts w:ascii="Palatino Linotype" w:hAnsi="Palatino Linotype" w:cs="Arial"/>
          <w:b/>
        </w:rPr>
        <w:t xml:space="preserve">DE DOS MIL DIECIOCHO, EN EL RECURSO DE REVISIÓN </w:t>
      </w:r>
      <w:r w:rsidRPr="009D3429">
        <w:rPr>
          <w:rFonts w:ascii="Palatino Linotype" w:eastAsia="Calibri" w:hAnsi="Palatino Linotype" w:cs="Arial"/>
          <w:b/>
          <w:color w:val="000000"/>
        </w:rPr>
        <w:t>0</w:t>
      </w:r>
      <w:r>
        <w:rPr>
          <w:rFonts w:ascii="Palatino Linotype" w:eastAsia="Calibri" w:hAnsi="Palatino Linotype" w:cs="Arial"/>
          <w:b/>
          <w:color w:val="000000"/>
        </w:rPr>
        <w:t>3864</w:t>
      </w:r>
      <w:r w:rsidRPr="009D3429">
        <w:rPr>
          <w:rFonts w:ascii="Palatino Linotype" w:eastAsia="Calibri" w:hAnsi="Palatino Linotype" w:cs="Arial"/>
          <w:b/>
          <w:color w:val="000000"/>
        </w:rPr>
        <w:t>/INFOEM/IP/RR/201</w:t>
      </w:r>
      <w:r>
        <w:rPr>
          <w:rFonts w:ascii="Palatino Linotype" w:eastAsia="Calibri" w:hAnsi="Palatino Linotype" w:cs="Arial"/>
          <w:b/>
          <w:color w:val="000000"/>
        </w:rPr>
        <w:t>8</w:t>
      </w:r>
      <w:r w:rsidRPr="009D3429">
        <w:rPr>
          <w:rFonts w:ascii="Palatino Linotype" w:eastAsia="Calibri" w:hAnsi="Palatino Linotype" w:cs="Arial"/>
          <w:b/>
          <w:color w:val="000000"/>
        </w:rPr>
        <w:t>.</w:t>
      </w:r>
    </w:p>
    <w:p w:rsidR="00117117" w:rsidRDefault="00117117" w:rsidP="00117117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9D3429">
        <w:rPr>
          <w:rFonts w:ascii="Palatino Linotype" w:hAnsi="Palatino Linotype" w:cs="Arial"/>
        </w:rPr>
        <w:t>Con fundamento en lo dispuesto por el artículo 14, fracciones X y XI del Reglamento Interior del Instituto de Transparencia, Acceso a la Información Pública y Protección de Datos Personales del Estado de México y Municipios, la que suscribe</w:t>
      </w:r>
      <w:r w:rsidRPr="009D3429">
        <w:rPr>
          <w:rFonts w:ascii="Palatino Linotype" w:hAnsi="Palatino Linotype" w:cs="Arial"/>
          <w:b/>
          <w:lang w:val="es-ES_tradnl"/>
        </w:rPr>
        <w:t xml:space="preserve"> </w:t>
      </w:r>
      <w:r w:rsidRPr="009D3429">
        <w:rPr>
          <w:rFonts w:ascii="Palatino Linotype" w:hAnsi="Palatino Linotype" w:cs="Arial"/>
          <w:b/>
        </w:rPr>
        <w:t xml:space="preserve">EVA ABAID YAPUR, </w:t>
      </w:r>
      <w:r w:rsidRPr="009D3429">
        <w:rPr>
          <w:rFonts w:ascii="Palatino Linotype" w:hAnsi="Palatino Linotype" w:cs="Arial"/>
        </w:rPr>
        <w:t xml:space="preserve">emite </w:t>
      </w:r>
      <w:r w:rsidRPr="009D3429">
        <w:rPr>
          <w:rFonts w:ascii="Palatino Linotype" w:hAnsi="Palatino Linotype" w:cs="Arial"/>
          <w:b/>
        </w:rPr>
        <w:t xml:space="preserve">VOTO PARTICULAR </w:t>
      </w:r>
      <w:r w:rsidRPr="009D3429">
        <w:rPr>
          <w:rFonts w:ascii="Palatino Linotype" w:hAnsi="Palatino Linotype" w:cs="Arial"/>
        </w:rPr>
        <w:t xml:space="preserve">respecto de la resolución dictada en el recurso de revisión </w:t>
      </w:r>
      <w:r w:rsidRPr="009D3429">
        <w:rPr>
          <w:rFonts w:ascii="Palatino Linotype" w:eastAsia="Calibri" w:hAnsi="Palatino Linotype" w:cs="Arial"/>
          <w:b/>
          <w:color w:val="000000"/>
        </w:rPr>
        <w:t>0</w:t>
      </w:r>
      <w:r>
        <w:rPr>
          <w:rFonts w:ascii="Palatino Linotype" w:eastAsia="Calibri" w:hAnsi="Palatino Linotype" w:cs="Arial"/>
          <w:b/>
          <w:color w:val="000000"/>
        </w:rPr>
        <w:t>3864</w:t>
      </w:r>
      <w:r w:rsidRPr="009D3429">
        <w:rPr>
          <w:rFonts w:ascii="Palatino Linotype" w:eastAsia="Calibri" w:hAnsi="Palatino Linotype" w:cs="Arial"/>
          <w:b/>
          <w:color w:val="000000"/>
        </w:rPr>
        <w:t>/INFOEM/IP/RR/201</w:t>
      </w:r>
      <w:r>
        <w:rPr>
          <w:rFonts w:ascii="Palatino Linotype" w:eastAsia="Calibri" w:hAnsi="Palatino Linotype" w:cs="Arial"/>
          <w:b/>
          <w:color w:val="000000"/>
        </w:rPr>
        <w:t>8</w:t>
      </w:r>
      <w:r w:rsidRPr="009D3429">
        <w:rPr>
          <w:rFonts w:ascii="Palatino Linotype" w:hAnsi="Palatino Linotype" w:cs="Arial"/>
        </w:rPr>
        <w:t xml:space="preserve">, pronunciada por el Pleno de este Instituto ante el proyecto presentado por </w:t>
      </w:r>
      <w:r>
        <w:rPr>
          <w:rFonts w:ascii="Palatino Linotype" w:hAnsi="Palatino Linotype" w:cs="Arial"/>
        </w:rPr>
        <w:t>el</w:t>
      </w:r>
      <w:r w:rsidRPr="009D3429">
        <w:rPr>
          <w:rFonts w:ascii="Palatino Linotype" w:hAnsi="Palatino Linotype" w:cs="Arial"/>
        </w:rPr>
        <w:t xml:space="preserve"> Comisionad</w:t>
      </w:r>
      <w:r>
        <w:rPr>
          <w:rFonts w:ascii="Palatino Linotype" w:hAnsi="Palatino Linotype" w:cs="Arial"/>
        </w:rPr>
        <w:t xml:space="preserve">o </w:t>
      </w:r>
      <w:r>
        <w:rPr>
          <w:rFonts w:ascii="Palatino Linotype" w:hAnsi="Palatino Linotype" w:cs="Arial"/>
          <w:b/>
        </w:rPr>
        <w:t>JAVIER MARTÍNEZ CRUZ,</w:t>
      </w:r>
      <w:r>
        <w:rPr>
          <w:rFonts w:ascii="Palatino Linotype" w:hAnsi="Palatino Linotype" w:cs="Arial"/>
        </w:rPr>
        <w:t xml:space="preserve"> que es del tenor siguiente.</w:t>
      </w:r>
    </w:p>
    <w:p w:rsidR="00117117" w:rsidRDefault="00117117" w:rsidP="00117117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9D3429">
        <w:rPr>
          <w:rFonts w:ascii="Palatino Linotype" w:hAnsi="Palatino Linotype"/>
        </w:rPr>
        <w:t xml:space="preserve">Es de destacar, que la suscrita comparte las razones que </w:t>
      </w:r>
      <w:r>
        <w:rPr>
          <w:rFonts w:ascii="Palatino Linotype" w:hAnsi="Palatino Linotype"/>
        </w:rPr>
        <w:t xml:space="preserve">dieron origen al </w:t>
      </w:r>
      <w:r w:rsidRPr="009D3429">
        <w:rPr>
          <w:rFonts w:ascii="Palatino Linotype" w:hAnsi="Palatino Linotype"/>
        </w:rPr>
        <w:t>recurso de revisión en comento; empero, estim</w:t>
      </w:r>
      <w:r>
        <w:rPr>
          <w:rFonts w:ascii="Palatino Linotype" w:hAnsi="Palatino Linotype"/>
        </w:rPr>
        <w:t>o</w:t>
      </w:r>
      <w:r w:rsidRPr="009D3429">
        <w:rPr>
          <w:rFonts w:ascii="Palatino Linotype" w:hAnsi="Palatino Linotype"/>
        </w:rPr>
        <w:t xml:space="preserve"> necesario precisar algunas consideraciones de hecho y de derecho, </w:t>
      </w:r>
      <w:r>
        <w:rPr>
          <w:rFonts w:ascii="Palatino Linotype" w:hAnsi="Palatino Linotype"/>
        </w:rPr>
        <w:t>tocante al</w:t>
      </w:r>
      <w:r w:rsidRPr="009D3429">
        <w:rPr>
          <w:rFonts w:ascii="Palatino Linotype" w:hAnsi="Palatino Linotype"/>
        </w:rPr>
        <w:t xml:space="preserve"> sentido de la resolución correspondiente.</w:t>
      </w:r>
    </w:p>
    <w:p w:rsidR="00276C87" w:rsidRDefault="00117117" w:rsidP="00276C87">
      <w:pPr>
        <w:pStyle w:val="Sinespaciado"/>
        <w:spacing w:before="100" w:beforeAutospacing="1" w:after="100" w:afterAutospacing="1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T</w:t>
      </w:r>
      <w:r w:rsidRPr="00006989">
        <w:rPr>
          <w:rFonts w:ascii="Palatino Linotype" w:hAnsi="Palatino Linotype"/>
          <w:sz w:val="24"/>
          <w:szCs w:val="24"/>
        </w:rPr>
        <w:t xml:space="preserve">al y como quedó debidamente asentado en la resolución materia del presente voto, el particular requirió del </w:t>
      </w:r>
      <w:r w:rsidR="00276C87">
        <w:rPr>
          <w:rFonts w:ascii="Palatino Linotype" w:hAnsi="Palatino Linotype" w:cs="Arial"/>
          <w:b/>
          <w:sz w:val="24"/>
          <w:szCs w:val="24"/>
        </w:rPr>
        <w:t xml:space="preserve">Ayuntamiento de Huixquilucan, </w:t>
      </w:r>
      <w:r w:rsidRPr="00006989">
        <w:rPr>
          <w:rFonts w:ascii="Palatino Linotype" w:hAnsi="Palatino Linotype" w:cs="Arial"/>
          <w:sz w:val="24"/>
          <w:szCs w:val="24"/>
        </w:rPr>
        <w:t xml:space="preserve">en lo sucesivo </w:t>
      </w:r>
      <w:r w:rsidRPr="00006989">
        <w:rPr>
          <w:rFonts w:ascii="Palatino Linotype" w:hAnsi="Palatino Linotype"/>
          <w:b/>
          <w:sz w:val="24"/>
          <w:szCs w:val="24"/>
        </w:rPr>
        <w:t>EL SUJETO OBLIGADO</w:t>
      </w:r>
      <w:r w:rsidRPr="00006989">
        <w:rPr>
          <w:rFonts w:ascii="Palatino Linotype" w:hAnsi="Palatino Linotype"/>
          <w:sz w:val="24"/>
          <w:szCs w:val="24"/>
        </w:rPr>
        <w:t xml:space="preserve">, </w:t>
      </w:r>
      <w:r w:rsidR="00276C87">
        <w:rPr>
          <w:rFonts w:ascii="Palatino Linotype" w:hAnsi="Palatino Linotype"/>
          <w:sz w:val="24"/>
          <w:szCs w:val="24"/>
        </w:rPr>
        <w:t xml:space="preserve">los listados de nómina del personal sindicalizado, donde aparezcan desglosados las percepciones y deducciones así como la firma del trabajador de las </w:t>
      </w:r>
      <w:r w:rsidR="00276C87">
        <w:rPr>
          <w:rFonts w:ascii="Palatino Linotype" w:hAnsi="Palatino Linotype"/>
          <w:sz w:val="24"/>
          <w:szCs w:val="24"/>
        </w:rPr>
        <w:lastRenderedPageBreak/>
        <w:t>primeras quincenas de los meses de marzo, junio y agosto de los años 2016, 2017 y 2018, así como de las segundas quincenas de los meses de septiembre, octubre, noviembre y diciembre de los años 2016, 2017 y 2018.</w:t>
      </w:r>
    </w:p>
    <w:p w:rsidR="002A256D" w:rsidRDefault="00117117" w:rsidP="00117117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9D3429">
        <w:rPr>
          <w:rFonts w:ascii="Palatino Linotype" w:hAnsi="Palatino Linotype" w:cs="Arial"/>
        </w:rPr>
        <w:t xml:space="preserve">En </w:t>
      </w:r>
      <w:r w:rsidRPr="009D3429">
        <w:rPr>
          <w:rFonts w:ascii="Palatino Linotype" w:hAnsi="Palatino Linotype"/>
        </w:rPr>
        <w:t>respuesta</w:t>
      </w:r>
      <w:r w:rsidRPr="009D3429">
        <w:rPr>
          <w:rFonts w:ascii="Palatino Linotype" w:hAnsi="Palatino Linotype" w:cs="Arial"/>
        </w:rPr>
        <w:t xml:space="preserve">, </w:t>
      </w:r>
      <w:r w:rsidRPr="009D3429">
        <w:rPr>
          <w:rFonts w:ascii="Palatino Linotype" w:hAnsi="Palatino Linotype" w:cs="Arial"/>
          <w:b/>
        </w:rPr>
        <w:t>EL SUJETO OBLIGADO</w:t>
      </w:r>
      <w:r>
        <w:rPr>
          <w:rFonts w:ascii="Palatino Linotype" w:hAnsi="Palatino Linotype" w:cs="Arial"/>
        </w:rPr>
        <w:t xml:space="preserve"> adjuntó </w:t>
      </w:r>
      <w:r w:rsidR="002A256D">
        <w:rPr>
          <w:rFonts w:ascii="Palatino Linotype" w:hAnsi="Palatino Linotype" w:cs="Arial"/>
        </w:rPr>
        <w:t xml:space="preserve">los </w:t>
      </w:r>
      <w:r>
        <w:rPr>
          <w:rFonts w:ascii="Palatino Linotype" w:hAnsi="Palatino Linotype" w:cs="Arial"/>
        </w:rPr>
        <w:t>archivos electrónicos mediante los cuales pretendió colmar el derecho de acceso a la información pública ejercido por el solicitante; sin embargo, debe precisarse que en los documentos contenidos</w:t>
      </w:r>
      <w:r w:rsidR="002A256D">
        <w:rPr>
          <w:rFonts w:ascii="Palatino Linotype" w:hAnsi="Palatino Linotype" w:cs="Arial"/>
        </w:rPr>
        <w:t xml:space="preserve"> en dichos archivos, se advirtió que </w:t>
      </w:r>
      <w:r w:rsidR="009B1096">
        <w:rPr>
          <w:rFonts w:ascii="Palatino Linotype" w:hAnsi="Palatino Linotype" w:cs="Arial"/>
        </w:rPr>
        <w:t>no se aprecia la temporalidad de la información y tampoco si el personal listado es o no sindicalizado, además de que las deducciones que se realizan a los servidores públicos no fueron desglosadas.</w:t>
      </w:r>
    </w:p>
    <w:p w:rsidR="00064889" w:rsidRDefault="00117117" w:rsidP="00117117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I</w:t>
      </w:r>
      <w:r w:rsidRPr="009D3429">
        <w:rPr>
          <w:rFonts w:ascii="Palatino Linotype" w:hAnsi="Palatino Linotype" w:cs="Arial"/>
        </w:rPr>
        <w:t>nconf</w:t>
      </w:r>
      <w:r>
        <w:rPr>
          <w:rFonts w:ascii="Palatino Linotype" w:hAnsi="Palatino Linotype" w:cs="Arial"/>
        </w:rPr>
        <w:t xml:space="preserve">orme con la entrega de la información, </w:t>
      </w:r>
      <w:r w:rsidRPr="00623A83">
        <w:rPr>
          <w:rFonts w:ascii="Palatino Linotype" w:hAnsi="Palatino Linotype" w:cs="Arial"/>
          <w:b/>
        </w:rPr>
        <w:t>EL</w:t>
      </w:r>
      <w:r w:rsidRPr="009D3429">
        <w:rPr>
          <w:rFonts w:ascii="Palatino Linotype" w:hAnsi="Palatino Linotype" w:cs="Arial"/>
          <w:b/>
        </w:rPr>
        <w:t xml:space="preserve"> RECURRENTE </w:t>
      </w:r>
      <w:r w:rsidRPr="009D3429">
        <w:rPr>
          <w:rFonts w:ascii="Palatino Linotype" w:hAnsi="Palatino Linotype" w:cs="Arial"/>
        </w:rPr>
        <w:t>interpuso el recurso de revisión de mérito</w:t>
      </w:r>
      <w:r w:rsidR="00064889">
        <w:rPr>
          <w:rFonts w:ascii="Palatino Linotype" w:hAnsi="Palatino Linotype" w:cs="Arial"/>
        </w:rPr>
        <w:t>.</w:t>
      </w:r>
    </w:p>
    <w:p w:rsidR="00117117" w:rsidRDefault="00117117" w:rsidP="00117117">
      <w:pPr>
        <w:spacing w:before="240" w:after="240" w:line="360" w:lineRule="auto"/>
        <w:jc w:val="both"/>
        <w:rPr>
          <w:rFonts w:ascii="Palatino Linotype" w:hAnsi="Palatino Linotype" w:cs="Arial"/>
        </w:rPr>
      </w:pPr>
      <w:r w:rsidRPr="009D3429">
        <w:rPr>
          <w:rFonts w:ascii="Palatino Linotype" w:hAnsi="Palatino Linotype" w:cs="Arial"/>
        </w:rPr>
        <w:t>De lo anterior, conforme al análisis d</w:t>
      </w:r>
      <w:r w:rsidRPr="009D3429">
        <w:rPr>
          <w:rFonts w:ascii="Palatino Linotype" w:hAnsi="Palatino Linotype"/>
        </w:rPr>
        <w:t xml:space="preserve">el expediente electrónico del </w:t>
      </w:r>
      <w:r w:rsidRPr="009D3429">
        <w:rPr>
          <w:rFonts w:ascii="Palatino Linotype" w:hAnsi="Palatino Linotype"/>
          <w:b/>
        </w:rPr>
        <w:t>SAIMEX</w:t>
      </w:r>
      <w:r w:rsidRPr="009D3429">
        <w:rPr>
          <w:rFonts w:ascii="Palatino Linotype" w:hAnsi="Palatino Linotype" w:cs="Arial"/>
        </w:rPr>
        <w:t>, la Ponencia Resolutora determinó</w:t>
      </w:r>
      <w:r>
        <w:rPr>
          <w:rFonts w:ascii="Palatino Linotype" w:hAnsi="Palatino Linotype" w:cs="Arial"/>
        </w:rPr>
        <w:t xml:space="preserve"> </w:t>
      </w:r>
      <w:r w:rsidRPr="009D3429">
        <w:rPr>
          <w:rFonts w:ascii="Palatino Linotype" w:hAnsi="Palatino Linotype" w:cs="Arial"/>
          <w:b/>
        </w:rPr>
        <w:t>MODIFICAR</w:t>
      </w:r>
      <w:r w:rsidRPr="009D3429">
        <w:rPr>
          <w:rFonts w:ascii="Palatino Linotype" w:hAnsi="Palatino Linotype" w:cs="Arial"/>
        </w:rPr>
        <w:t xml:space="preserve"> la respuesta del </w:t>
      </w:r>
      <w:r w:rsidRPr="009D3429">
        <w:rPr>
          <w:rFonts w:ascii="Palatino Linotype" w:hAnsi="Palatino Linotype" w:cs="Arial"/>
          <w:b/>
        </w:rPr>
        <w:t xml:space="preserve">SUJETO OBLIGADO </w:t>
      </w:r>
      <w:r w:rsidRPr="009D3429">
        <w:rPr>
          <w:rFonts w:ascii="Palatino Linotype" w:hAnsi="Palatino Linotype" w:cs="Arial"/>
        </w:rPr>
        <w:t xml:space="preserve">ordenándole hacer entrega vía </w:t>
      </w:r>
      <w:r>
        <w:rPr>
          <w:rFonts w:ascii="Palatino Linotype" w:hAnsi="Palatino Linotype" w:cs="Arial"/>
          <w:b/>
        </w:rPr>
        <w:t xml:space="preserve">SAIMEX </w:t>
      </w:r>
      <w:r>
        <w:rPr>
          <w:rFonts w:ascii="Palatino Linotype" w:hAnsi="Palatino Linotype" w:cs="Arial"/>
        </w:rPr>
        <w:t>en versión pública</w:t>
      </w:r>
      <w:r w:rsidR="00064889">
        <w:rPr>
          <w:rFonts w:ascii="Palatino Linotype" w:hAnsi="Palatino Linotype" w:cs="Arial"/>
        </w:rPr>
        <w:t xml:space="preserve"> de ser procedente</w:t>
      </w:r>
      <w:r>
        <w:rPr>
          <w:rFonts w:ascii="Palatino Linotype" w:hAnsi="Palatino Linotype" w:cs="Arial"/>
        </w:rPr>
        <w:t xml:space="preserve"> lo siguiente:</w:t>
      </w:r>
    </w:p>
    <w:p w:rsidR="00064889" w:rsidRPr="0097297C" w:rsidRDefault="00064889" w:rsidP="0097297C">
      <w:pPr>
        <w:pStyle w:val="Prrafodelista"/>
        <w:numPr>
          <w:ilvl w:val="0"/>
          <w:numId w:val="4"/>
        </w:numPr>
        <w:ind w:left="1134" w:right="899"/>
        <w:contextualSpacing w:val="0"/>
        <w:jc w:val="both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i/>
          <w:sz w:val="22"/>
          <w:szCs w:val="22"/>
          <w:lang w:val="es-ES"/>
        </w:rPr>
        <w:t>“</w:t>
      </w:r>
      <w:r w:rsidRPr="00064889">
        <w:rPr>
          <w:rFonts w:ascii="Palatino Linotype" w:hAnsi="Palatino Linotype"/>
          <w:i/>
          <w:sz w:val="22"/>
          <w:szCs w:val="22"/>
          <w:lang w:val="es-ES"/>
        </w:rPr>
        <w:t>Documento o documentos en donde conste(n) las percepciones ordinarias y extraordinarias de los servidores públicos sindicalizados del Ayuntamiento de Huixquilucan, correspondientes a las quincen</w:t>
      </w:r>
      <w:r w:rsidRPr="0097297C">
        <w:rPr>
          <w:rFonts w:ascii="Palatino Linotype" w:hAnsi="Palatino Linotype"/>
          <w:i/>
          <w:sz w:val="22"/>
          <w:szCs w:val="22"/>
          <w:lang w:val="es-ES"/>
        </w:rPr>
        <w:t>as referidas por el impetrante en la solicitud número 00375/HUIXQUIL/IP/2018</w:t>
      </w:r>
      <w:r w:rsidRPr="0097297C">
        <w:rPr>
          <w:rFonts w:ascii="Palatino Linotype" w:hAnsi="Palatino Linotype"/>
          <w:i/>
          <w:sz w:val="22"/>
          <w:szCs w:val="22"/>
        </w:rPr>
        <w:t xml:space="preserve">. </w:t>
      </w:r>
    </w:p>
    <w:p w:rsidR="00064889" w:rsidRPr="00064889" w:rsidRDefault="00064889" w:rsidP="00064889">
      <w:pPr>
        <w:pStyle w:val="Prrafodelista"/>
        <w:ind w:left="1134" w:right="899"/>
        <w:contextualSpacing w:val="0"/>
        <w:jc w:val="both"/>
        <w:rPr>
          <w:rFonts w:ascii="Palatino Linotype" w:hAnsi="Palatino Linotype"/>
          <w:i/>
          <w:sz w:val="22"/>
          <w:szCs w:val="22"/>
        </w:rPr>
      </w:pPr>
    </w:p>
    <w:p w:rsidR="00064889" w:rsidRPr="00064889" w:rsidRDefault="00064889" w:rsidP="00064889">
      <w:pPr>
        <w:pStyle w:val="Prrafodelista"/>
        <w:spacing w:before="240" w:after="240"/>
        <w:ind w:left="1134" w:right="899"/>
        <w:jc w:val="both"/>
        <w:rPr>
          <w:rFonts w:ascii="Palatino Linotype" w:eastAsia="Calibri" w:hAnsi="Palatino Linotype" w:cs="Arial"/>
          <w:i/>
          <w:sz w:val="22"/>
          <w:szCs w:val="22"/>
          <w:lang w:val="es-ES_tradnl"/>
        </w:rPr>
      </w:pPr>
      <w:r w:rsidRPr="00064889">
        <w:rPr>
          <w:rFonts w:ascii="Palatino Linotype" w:hAnsi="Palatino Linotype" w:cs="Arial"/>
          <w:bCs/>
          <w:i/>
          <w:sz w:val="22"/>
          <w:szCs w:val="22"/>
          <w:shd w:val="clear" w:color="auto" w:fill="FFFFFF"/>
        </w:rPr>
        <w:t xml:space="preserve">Para lo cual se deberá emitir el Acuerdo del Comité de Transparencia en términos del artículo 49 fracción VIII y </w:t>
      </w:r>
      <w:r w:rsidRPr="00064889">
        <w:rPr>
          <w:rFonts w:ascii="Palatino Linotype" w:eastAsia="Calibri" w:hAnsi="Palatino Linotype" w:cs="Arial"/>
          <w:i/>
          <w:sz w:val="22"/>
          <w:szCs w:val="22"/>
          <w:lang w:val="es-ES_tradnl"/>
        </w:rPr>
        <w:t xml:space="preserve">132 fracción II de la Ley de Transparencia y Acceso a la Información Pública del Estado de México y Municipios vigente, en el que funde y motive las razones sobre los datos que se supriman o eliminen dentro del </w:t>
      </w:r>
      <w:r w:rsidRPr="00064889">
        <w:rPr>
          <w:rFonts w:ascii="Palatino Linotype" w:eastAsia="Calibri" w:hAnsi="Palatino Linotype" w:cs="Arial"/>
          <w:i/>
          <w:sz w:val="22"/>
          <w:szCs w:val="22"/>
          <w:lang w:val="es-ES_tradnl"/>
        </w:rPr>
        <w:lastRenderedPageBreak/>
        <w:t>soporte documental respectivo objeto de las versiones públicas que se formulen y se ponga a disposición de la recurrente.</w:t>
      </w:r>
      <w:r>
        <w:rPr>
          <w:rFonts w:ascii="Palatino Linotype" w:eastAsia="Calibri" w:hAnsi="Palatino Linotype" w:cs="Arial"/>
          <w:i/>
          <w:sz w:val="22"/>
          <w:szCs w:val="22"/>
          <w:lang w:val="es-ES_tradnl"/>
        </w:rPr>
        <w:t xml:space="preserve">” </w:t>
      </w:r>
    </w:p>
    <w:p w:rsidR="00117117" w:rsidRPr="00064889" w:rsidRDefault="00117117" w:rsidP="00064889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064889">
        <w:rPr>
          <w:rFonts w:ascii="Palatino Linotype" w:hAnsi="Palatino Linotype"/>
        </w:rPr>
        <w:t>En primer término, es necesario precisar que de conformidad con el artículo 186 de la Ley de Transparencia y Acceso a la Información Pública del Estado de México y Municipios, las Resoluciones emitidas por este Órgano Garante podrán:</w:t>
      </w:r>
    </w:p>
    <w:p w:rsidR="00117117" w:rsidRPr="009D3429" w:rsidRDefault="00117117" w:rsidP="00117117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9D3429">
        <w:rPr>
          <w:rFonts w:ascii="Palatino Linotype" w:hAnsi="Palatino Linotype"/>
        </w:rPr>
        <w:t xml:space="preserve">Desechar o sobreseer el recurso; </w:t>
      </w:r>
    </w:p>
    <w:p w:rsidR="00117117" w:rsidRPr="009D3429" w:rsidRDefault="00117117" w:rsidP="00117117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9D3429">
        <w:rPr>
          <w:rFonts w:ascii="Palatino Linotype" w:hAnsi="Palatino Linotype"/>
        </w:rPr>
        <w:t xml:space="preserve">Confirmar la respuesta del sujeto obligado; </w:t>
      </w:r>
    </w:p>
    <w:p w:rsidR="00117117" w:rsidRPr="009D3429" w:rsidRDefault="00117117" w:rsidP="00117117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9D3429">
        <w:rPr>
          <w:rFonts w:ascii="Palatino Linotype" w:hAnsi="Palatino Linotype"/>
          <w:b/>
        </w:rPr>
        <w:t>Revocar o modificar la respuesta del sujeto obligado</w:t>
      </w:r>
      <w:r w:rsidRPr="009D3429">
        <w:rPr>
          <w:rFonts w:ascii="Palatino Linotype" w:hAnsi="Palatino Linotype"/>
        </w:rPr>
        <w:t xml:space="preserve">; y </w:t>
      </w:r>
    </w:p>
    <w:p w:rsidR="00117117" w:rsidRPr="009D3429" w:rsidRDefault="00117117" w:rsidP="00117117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9D3429">
        <w:rPr>
          <w:rFonts w:ascii="Palatino Linotype" w:hAnsi="Palatino Linotype"/>
        </w:rPr>
        <w:t>Ordenar la entrega de la información.</w:t>
      </w:r>
    </w:p>
    <w:p w:rsidR="00117117" w:rsidRPr="009D3429" w:rsidRDefault="00117117" w:rsidP="00117117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9D3429">
        <w:rPr>
          <w:rFonts w:ascii="Palatino Linotype" w:hAnsi="Palatino Linotype"/>
        </w:rPr>
        <w:t xml:space="preserve">En el caso particular de la fracción III y en relación a dichos sentidos, se procede a </w:t>
      </w:r>
      <w:r w:rsidRPr="009D3429">
        <w:rPr>
          <w:rFonts w:ascii="Palatino Linotype" w:hAnsi="Palatino Linotype"/>
          <w:b/>
        </w:rPr>
        <w:t>REVOCAR</w:t>
      </w:r>
      <w:r w:rsidRPr="009D3429">
        <w:rPr>
          <w:rFonts w:ascii="Palatino Linotype" w:hAnsi="Palatino Linotype"/>
        </w:rPr>
        <w:t xml:space="preserve"> la respuesta de los Sujetos Obligados, cuando ésta no satisfaga en su </w:t>
      </w:r>
      <w:r w:rsidRPr="009D3429">
        <w:rPr>
          <w:rFonts w:ascii="Palatino Linotype" w:hAnsi="Palatino Linotype"/>
          <w:b/>
        </w:rPr>
        <w:t>totalidad</w:t>
      </w:r>
      <w:r w:rsidRPr="009D3429">
        <w:rPr>
          <w:rFonts w:ascii="Palatino Linotype" w:hAnsi="Palatino Linotype"/>
        </w:rPr>
        <w:t xml:space="preserve"> la información requerida por los particulares; mientras que se procede a </w:t>
      </w:r>
      <w:r w:rsidRPr="009D3429">
        <w:rPr>
          <w:rFonts w:ascii="Palatino Linotype" w:hAnsi="Palatino Linotype"/>
          <w:b/>
        </w:rPr>
        <w:t xml:space="preserve">MODIFICAR </w:t>
      </w:r>
      <w:r w:rsidRPr="009D3429">
        <w:rPr>
          <w:rFonts w:ascii="Palatino Linotype" w:hAnsi="Palatino Linotype"/>
        </w:rPr>
        <w:t xml:space="preserve">la misma, en aquellos casos en que se colme </w:t>
      </w:r>
      <w:r w:rsidRPr="009D3429">
        <w:rPr>
          <w:rFonts w:ascii="Palatino Linotype" w:hAnsi="Palatino Linotype"/>
          <w:b/>
        </w:rPr>
        <w:t>parcialmente</w:t>
      </w:r>
      <w:r w:rsidRPr="009D3429">
        <w:rPr>
          <w:rFonts w:ascii="Palatino Linotype" w:hAnsi="Palatino Linotype"/>
        </w:rPr>
        <w:t xml:space="preserve"> la solicitud de información, por mínima que pudiera resultar ésta.</w:t>
      </w:r>
    </w:p>
    <w:p w:rsidR="00182481" w:rsidRPr="00182481" w:rsidRDefault="00117117" w:rsidP="00182481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Así, del estudio realizado por la Ponencia Resolutora, se precisa que </w:t>
      </w:r>
      <w:r w:rsidRPr="00630280">
        <w:rPr>
          <w:rFonts w:ascii="Palatino Linotype" w:hAnsi="Palatino Linotype"/>
          <w:b/>
        </w:rPr>
        <w:t>EL SUJETO OBLIGADO</w:t>
      </w:r>
      <w:r>
        <w:rPr>
          <w:rFonts w:ascii="Palatino Linotype" w:hAnsi="Palatino Linotype"/>
          <w:b/>
        </w:rPr>
        <w:t>,</w:t>
      </w:r>
      <w:r>
        <w:rPr>
          <w:rFonts w:ascii="Palatino Linotype" w:hAnsi="Palatino Linotype"/>
        </w:rPr>
        <w:t xml:space="preserve"> en respuesta a la solicitud de información pública adjuntó dos archivos electrónicos en donde se advierte que proporcionó parte de la información solicitada por el hoy </w:t>
      </w:r>
      <w:r>
        <w:rPr>
          <w:rFonts w:ascii="Palatino Linotype" w:hAnsi="Palatino Linotype"/>
          <w:b/>
        </w:rPr>
        <w:t xml:space="preserve">RECURRENTE </w:t>
      </w:r>
      <w:r>
        <w:rPr>
          <w:rFonts w:ascii="Palatino Linotype" w:hAnsi="Palatino Linotype"/>
        </w:rPr>
        <w:t xml:space="preserve">y en consecuencia concluyó que lo procedente era </w:t>
      </w:r>
      <w:r>
        <w:rPr>
          <w:rFonts w:ascii="Palatino Linotype" w:hAnsi="Palatino Linotype"/>
          <w:b/>
        </w:rPr>
        <w:t xml:space="preserve">modificar </w:t>
      </w:r>
      <w:r>
        <w:rPr>
          <w:rFonts w:ascii="Palatino Linotype" w:hAnsi="Palatino Linotype"/>
        </w:rPr>
        <w:t xml:space="preserve">la respuesta; sin embargo, a criterio de la suscrita lo entregado por el </w:t>
      </w:r>
      <w:r>
        <w:rPr>
          <w:rFonts w:ascii="Palatino Linotype" w:hAnsi="Palatino Linotype"/>
          <w:b/>
        </w:rPr>
        <w:t xml:space="preserve">SUEJTO OBLIGADO </w:t>
      </w:r>
      <w:r>
        <w:rPr>
          <w:rFonts w:ascii="Palatino Linotype" w:hAnsi="Palatino Linotype"/>
        </w:rPr>
        <w:t>en respuesta no colma lo solicitado toda vez que</w:t>
      </w:r>
      <w:r w:rsidR="00182481">
        <w:rPr>
          <w:rFonts w:ascii="Palatino Linotype" w:hAnsi="Palatino Linotype"/>
        </w:rPr>
        <w:t xml:space="preserve"> en</w:t>
      </w:r>
      <w:r>
        <w:rPr>
          <w:rFonts w:ascii="Palatino Linotype" w:hAnsi="Palatino Linotype"/>
        </w:rPr>
        <w:t xml:space="preserve"> la docume</w:t>
      </w:r>
      <w:r w:rsidR="00182481">
        <w:rPr>
          <w:rFonts w:ascii="Palatino Linotype" w:hAnsi="Palatino Linotype"/>
        </w:rPr>
        <w:t xml:space="preserve">ntación remitida </w:t>
      </w:r>
      <w:r w:rsidR="00182481">
        <w:rPr>
          <w:rFonts w:ascii="Palatino Linotype" w:hAnsi="Palatino Linotype" w:cs="Arial"/>
        </w:rPr>
        <w:t xml:space="preserve">no se aprecia la temporalidad de la información y tampoco si el personal </w:t>
      </w:r>
      <w:r w:rsidR="00182481">
        <w:rPr>
          <w:rFonts w:ascii="Palatino Linotype" w:hAnsi="Palatino Linotype" w:cs="Arial"/>
        </w:rPr>
        <w:lastRenderedPageBreak/>
        <w:t xml:space="preserve">listado es o no sindicalizado, además de que las deducciones que se realizan a los servidores </w:t>
      </w:r>
      <w:r w:rsidR="00A44523">
        <w:rPr>
          <w:rFonts w:ascii="Palatino Linotype" w:hAnsi="Palatino Linotype" w:cs="Arial"/>
        </w:rPr>
        <w:t>públicos no fueron desagregadas, lo cual no genera certeza jurídica al particular.</w:t>
      </w:r>
    </w:p>
    <w:p w:rsidR="00117117" w:rsidRDefault="00117117" w:rsidP="00117117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9D3429">
        <w:rPr>
          <w:rFonts w:ascii="Palatino Linotype" w:hAnsi="Palatino Linotype"/>
        </w:rPr>
        <w:t xml:space="preserve">En ese contexto, la que suscribe emite </w:t>
      </w:r>
      <w:r w:rsidRPr="009D3429">
        <w:rPr>
          <w:rFonts w:ascii="Palatino Linotype" w:hAnsi="Palatino Linotype"/>
          <w:b/>
        </w:rPr>
        <w:t>VOTO PARTICULAR</w:t>
      </w:r>
      <w:r w:rsidRPr="009D3429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pues se insiste en que la información remitida por </w:t>
      </w:r>
      <w:r>
        <w:rPr>
          <w:rFonts w:ascii="Palatino Linotype" w:hAnsi="Palatino Linotype"/>
          <w:b/>
        </w:rPr>
        <w:t xml:space="preserve">EL SUJETO OBLIGADO </w:t>
      </w:r>
      <w:r w:rsidR="00182481">
        <w:rPr>
          <w:rFonts w:ascii="Palatino Linotype" w:hAnsi="Palatino Linotype"/>
        </w:rPr>
        <w:t>en respuesta n</w:t>
      </w:r>
      <w:r>
        <w:rPr>
          <w:rFonts w:ascii="Palatino Linotype" w:hAnsi="Palatino Linotype"/>
        </w:rPr>
        <w:t xml:space="preserve">o colma lo requerido por el particular, </w:t>
      </w:r>
      <w:r w:rsidRPr="009D3429">
        <w:rPr>
          <w:rFonts w:ascii="Palatino Linotype" w:hAnsi="Palatino Linotype" w:cs="Arial"/>
        </w:rPr>
        <w:t xml:space="preserve">por lo tanto, lo conducente era </w:t>
      </w:r>
      <w:r w:rsidRPr="009D3429">
        <w:rPr>
          <w:rFonts w:ascii="Palatino Linotype" w:hAnsi="Palatino Linotype" w:cs="Arial"/>
          <w:b/>
        </w:rPr>
        <w:t>REVOCAR</w:t>
      </w:r>
      <w:r w:rsidRPr="009D3429">
        <w:rPr>
          <w:rFonts w:ascii="Palatino Linotype" w:hAnsi="Palatino Linotype" w:cs="Arial"/>
        </w:rPr>
        <w:t xml:space="preserve"> la respuesta del </w:t>
      </w:r>
      <w:r w:rsidRPr="009D3429">
        <w:rPr>
          <w:rFonts w:ascii="Palatino Linotype" w:hAnsi="Palatino Linotype" w:cs="Arial"/>
          <w:b/>
        </w:rPr>
        <w:t>SUJETO OBLIGADO</w:t>
      </w:r>
      <w:r>
        <w:rPr>
          <w:rFonts w:ascii="Palatino Linotype" w:hAnsi="Palatino Linotype"/>
        </w:rPr>
        <w:t xml:space="preserve"> ordenando la información solicitada acompañada del Acuerdo de Clasificación qu</w:t>
      </w:r>
      <w:r w:rsidR="00182481">
        <w:rPr>
          <w:rFonts w:ascii="Palatino Linotype" w:hAnsi="Palatino Linotype"/>
        </w:rPr>
        <w:t>e sustentara la versión pública desglosando las deducciones que se realizan a los servidores públicos</w:t>
      </w:r>
      <w:r w:rsidR="00A44523">
        <w:rPr>
          <w:rFonts w:ascii="Palatino Linotype" w:hAnsi="Palatino Linotype"/>
        </w:rPr>
        <w:t xml:space="preserve">, ello en atención a los </w:t>
      </w:r>
      <w:r>
        <w:rPr>
          <w:rFonts w:ascii="Palatino Linotype" w:hAnsi="Palatino Linotype"/>
        </w:rPr>
        <w:t>principio</w:t>
      </w:r>
      <w:r w:rsidR="00A44523">
        <w:rPr>
          <w:rFonts w:ascii="Palatino Linotype" w:hAnsi="Palatino Linotype"/>
        </w:rPr>
        <w:t>s</w:t>
      </w:r>
      <w:r>
        <w:rPr>
          <w:rFonts w:ascii="Palatino Linotype" w:hAnsi="Palatino Linotype"/>
        </w:rPr>
        <w:t xml:space="preserve"> establecido</w:t>
      </w:r>
      <w:r w:rsidR="00A44523">
        <w:rPr>
          <w:rFonts w:ascii="Palatino Linotype" w:hAnsi="Palatino Linotype"/>
        </w:rPr>
        <w:t>s</w:t>
      </w:r>
      <w:r>
        <w:rPr>
          <w:rFonts w:ascii="Palatino Linotype" w:hAnsi="Palatino Linotype"/>
        </w:rPr>
        <w:t xml:space="preserve"> en el artículo 9, fracción V</w:t>
      </w:r>
      <w:r w:rsidR="001C15A9">
        <w:rPr>
          <w:rFonts w:ascii="Palatino Linotype" w:hAnsi="Palatino Linotype"/>
        </w:rPr>
        <w:t>I</w:t>
      </w:r>
      <w:r w:rsidR="00A44523">
        <w:rPr>
          <w:rFonts w:ascii="Palatino Linotype" w:hAnsi="Palatino Linotype"/>
        </w:rPr>
        <w:t>I</w:t>
      </w:r>
      <w:r>
        <w:rPr>
          <w:rFonts w:ascii="Palatino Linotype" w:hAnsi="Palatino Linotype"/>
        </w:rPr>
        <w:t xml:space="preserve"> de la Ley de Transparencia y Acces</w:t>
      </w:r>
      <w:r w:rsidR="00A97DF8">
        <w:rPr>
          <w:rFonts w:ascii="Palatino Linotype" w:hAnsi="Palatino Linotype"/>
        </w:rPr>
        <w:t xml:space="preserve">o a la Información Pública del </w:t>
      </w:r>
      <w:r>
        <w:rPr>
          <w:rFonts w:ascii="Palatino Linotype" w:hAnsi="Palatino Linotype"/>
        </w:rPr>
        <w:t>Estado de México y Municipios.</w:t>
      </w:r>
    </w:p>
    <w:p w:rsidR="00A97DF8" w:rsidRDefault="00A97DF8" w:rsidP="00117117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</w:p>
    <w:p w:rsidR="00A97DF8" w:rsidRDefault="00A97DF8" w:rsidP="00117117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</w:p>
    <w:tbl>
      <w:tblPr>
        <w:tblW w:w="2896" w:type="dxa"/>
        <w:jc w:val="center"/>
        <w:tblLayout w:type="fixed"/>
        <w:tblLook w:val="04A0" w:firstRow="1" w:lastRow="0" w:firstColumn="1" w:lastColumn="0" w:noHBand="0" w:noVBand="1"/>
      </w:tblPr>
      <w:tblGrid>
        <w:gridCol w:w="2896"/>
      </w:tblGrid>
      <w:tr w:rsidR="00117117" w:rsidRPr="009D3429" w:rsidTr="002F35CD">
        <w:trPr>
          <w:trHeight w:val="913"/>
          <w:jc w:val="center"/>
        </w:trPr>
        <w:tc>
          <w:tcPr>
            <w:tcW w:w="2896" w:type="dxa"/>
            <w:vAlign w:val="center"/>
          </w:tcPr>
          <w:p w:rsidR="00117117" w:rsidRPr="009D3429" w:rsidRDefault="00117117" w:rsidP="002F35CD">
            <w:pPr>
              <w:jc w:val="center"/>
              <w:rPr>
                <w:rFonts w:ascii="Palatino Linotype" w:hAnsi="Palatino Linotype" w:cs="Arial"/>
                <w:b/>
              </w:rPr>
            </w:pPr>
            <w:r w:rsidRPr="009D3429">
              <w:rPr>
                <w:rFonts w:ascii="Palatino Linotype" w:hAnsi="Palatino Linotype" w:cs="Arial"/>
                <w:b/>
              </w:rPr>
              <w:t>EVA ABAID YAPUR</w:t>
            </w:r>
          </w:p>
          <w:p w:rsidR="00117117" w:rsidRDefault="00117117" w:rsidP="00A97DF8">
            <w:pPr>
              <w:jc w:val="center"/>
              <w:rPr>
                <w:rFonts w:ascii="Palatino Linotype" w:hAnsi="Palatino Linotype" w:cs="Arial"/>
                <w:b/>
              </w:rPr>
            </w:pPr>
            <w:r w:rsidRPr="009D3429">
              <w:rPr>
                <w:rFonts w:ascii="Palatino Linotype" w:hAnsi="Palatino Linotype" w:cs="Arial"/>
                <w:b/>
              </w:rPr>
              <w:t>COMISIONADA</w:t>
            </w:r>
          </w:p>
          <w:p w:rsidR="00570B52" w:rsidRPr="009D3429" w:rsidRDefault="00570B52" w:rsidP="00A97DF8">
            <w:pPr>
              <w:jc w:val="center"/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 w:cs="Arial"/>
                <w:b/>
              </w:rPr>
              <w:t>(RÚBRICA)</w:t>
            </w:r>
          </w:p>
        </w:tc>
      </w:tr>
    </w:tbl>
    <w:p w:rsidR="00A97DF8" w:rsidRDefault="00A97DF8" w:rsidP="00117117">
      <w:pPr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</w:p>
    <w:p w:rsidR="00570B52" w:rsidRDefault="00570B52" w:rsidP="00117117">
      <w:pPr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</w:p>
    <w:p w:rsidR="00570B52" w:rsidRDefault="00570B52" w:rsidP="00117117">
      <w:pPr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  <w:bookmarkStart w:id="0" w:name="_GoBack"/>
      <w:bookmarkEnd w:id="0"/>
    </w:p>
    <w:p w:rsidR="00117117" w:rsidRDefault="00117117" w:rsidP="00117117">
      <w:pPr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  <w:r>
        <w:rPr>
          <w:rFonts w:ascii="Palatino Linotype" w:eastAsia="Calibri" w:hAnsi="Palatino Linotype" w:cs="Arial"/>
          <w:color w:val="000000" w:themeColor="text1"/>
          <w:sz w:val="20"/>
        </w:rPr>
        <w:t>E</w:t>
      </w:r>
      <w:r w:rsidRPr="0035687B">
        <w:rPr>
          <w:rFonts w:ascii="Palatino Linotype" w:eastAsia="Calibri" w:hAnsi="Palatino Linotype" w:cs="Arial"/>
          <w:color w:val="000000" w:themeColor="text1"/>
          <w:sz w:val="20"/>
        </w:rPr>
        <w:t xml:space="preserve">sta hoja corresponde al voto particular emitido en </w:t>
      </w:r>
      <w:r>
        <w:rPr>
          <w:rFonts w:ascii="Palatino Linotype" w:eastAsia="Calibri" w:hAnsi="Palatino Linotype" w:cs="Arial"/>
          <w:color w:val="000000" w:themeColor="text1"/>
          <w:sz w:val="20"/>
        </w:rPr>
        <w:t>la resolución del</w:t>
      </w:r>
      <w:r w:rsidRPr="0035687B">
        <w:rPr>
          <w:rFonts w:ascii="Palatino Linotype" w:eastAsia="Calibri" w:hAnsi="Palatino Linotype" w:cs="Arial"/>
          <w:color w:val="000000" w:themeColor="text1"/>
          <w:sz w:val="20"/>
        </w:rPr>
        <w:t xml:space="preserve"> recurso de revisión 0</w:t>
      </w:r>
      <w:r w:rsidR="001C15A9">
        <w:rPr>
          <w:rFonts w:ascii="Palatino Linotype" w:eastAsia="Calibri" w:hAnsi="Palatino Linotype" w:cs="Arial"/>
          <w:color w:val="000000" w:themeColor="text1"/>
          <w:sz w:val="20"/>
        </w:rPr>
        <w:t>3864</w:t>
      </w:r>
      <w:r w:rsidRPr="0035687B">
        <w:rPr>
          <w:rFonts w:ascii="Palatino Linotype" w:eastAsia="Calibri" w:hAnsi="Palatino Linotype" w:cs="Arial"/>
          <w:color w:val="000000" w:themeColor="text1"/>
          <w:sz w:val="20"/>
        </w:rPr>
        <w:t>/INFOEM/IP/RR/201</w:t>
      </w:r>
      <w:r>
        <w:rPr>
          <w:rFonts w:ascii="Palatino Linotype" w:eastAsia="Calibri" w:hAnsi="Palatino Linotype" w:cs="Arial"/>
          <w:color w:val="000000" w:themeColor="text1"/>
          <w:sz w:val="20"/>
        </w:rPr>
        <w:t>8</w:t>
      </w:r>
      <w:r w:rsidRPr="0035687B">
        <w:rPr>
          <w:rFonts w:ascii="Palatino Linotype" w:eastAsia="Calibri" w:hAnsi="Palatino Linotype" w:cs="Arial"/>
          <w:color w:val="000000" w:themeColor="text1"/>
          <w:sz w:val="20"/>
        </w:rPr>
        <w:t xml:space="preserve">, aprobado el </w:t>
      </w:r>
      <w:r>
        <w:rPr>
          <w:rFonts w:ascii="Palatino Linotype" w:eastAsia="Calibri" w:hAnsi="Palatino Linotype" w:cs="Arial"/>
          <w:color w:val="000000" w:themeColor="text1"/>
          <w:sz w:val="20"/>
        </w:rPr>
        <w:t xml:space="preserve">seis de diciembre </w:t>
      </w:r>
      <w:r w:rsidRPr="0035687B">
        <w:rPr>
          <w:rFonts w:ascii="Palatino Linotype" w:eastAsia="Calibri" w:hAnsi="Palatino Linotype" w:cs="Arial"/>
          <w:color w:val="000000" w:themeColor="text1"/>
          <w:sz w:val="20"/>
        </w:rPr>
        <w:t>de dos mil dieciocho.</w:t>
      </w:r>
    </w:p>
    <w:p w:rsidR="00A97DF8" w:rsidRPr="00A97DF8" w:rsidRDefault="00A97DF8" w:rsidP="00117117">
      <w:pPr>
        <w:jc w:val="both"/>
        <w:rPr>
          <w:rFonts w:ascii="Palatino Linotype" w:eastAsia="Calibri" w:hAnsi="Palatino Linotype" w:cs="Arial"/>
          <w:color w:val="000000" w:themeColor="text1"/>
          <w:sz w:val="8"/>
          <w:szCs w:val="8"/>
        </w:rPr>
      </w:pPr>
    </w:p>
    <w:p w:rsidR="00C23B43" w:rsidRDefault="00117117" w:rsidP="00A44523">
      <w:pPr>
        <w:jc w:val="both"/>
      </w:pPr>
      <w:r>
        <w:rPr>
          <w:rFonts w:ascii="Palatino Linotype" w:eastAsia="Calibri" w:hAnsi="Palatino Linotype" w:cs="Arial"/>
          <w:color w:val="000000" w:themeColor="text1"/>
          <w:sz w:val="20"/>
        </w:rPr>
        <w:t>YSM/AMV</w:t>
      </w:r>
    </w:p>
    <w:sectPr w:rsidR="00C23B43" w:rsidSect="00AC0EBE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E92" w:rsidRDefault="00800E92" w:rsidP="00117117">
      <w:r>
        <w:separator/>
      </w:r>
    </w:p>
  </w:endnote>
  <w:endnote w:type="continuationSeparator" w:id="0">
    <w:p w:rsidR="00800E92" w:rsidRDefault="00800E92" w:rsidP="00117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2FB" w:rsidRDefault="00570B52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8C7DDA" w:rsidRDefault="00570B52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570B52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570B52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455CB3" w:rsidRDefault="00570B52" w:rsidP="000E2B1A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3056D9" w:rsidRPr="00F12350" w:rsidRDefault="00DA7CB3" w:rsidP="003056D9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570B52">
      <w:rPr>
        <w:rFonts w:ascii="Palatino Linotype" w:hAnsi="Palatino Linotype" w:cs="Arial"/>
        <w:b/>
        <w:bCs/>
        <w:noProof/>
        <w:sz w:val="20"/>
        <w:szCs w:val="20"/>
      </w:rPr>
      <w:t>4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570B52">
      <w:rPr>
        <w:rFonts w:ascii="Palatino Linotype" w:hAnsi="Palatino Linotype" w:cs="Arial"/>
        <w:b/>
        <w:bCs/>
        <w:noProof/>
        <w:sz w:val="20"/>
        <w:szCs w:val="20"/>
      </w:rPr>
      <w:t>4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6F30F8" w:rsidRDefault="00570B52" w:rsidP="006F30F8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E92" w:rsidRDefault="00800E92" w:rsidP="00117117">
      <w:r>
        <w:separator/>
      </w:r>
    </w:p>
  </w:footnote>
  <w:footnote w:type="continuationSeparator" w:id="0">
    <w:p w:rsidR="00800E92" w:rsidRDefault="00800E92" w:rsidP="001171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570B52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58856" o:spid="_x0000_s2049" type="#_x0000_t136" style="position:absolute;margin-left:0;margin-top:0;width:648.8pt;height:54.05pt;rotation:315;z-index:-251659264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 CONCURREN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DDA" w:rsidRDefault="00DA7CB3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6192" behindDoc="1" locked="0" layoutInCell="1" allowOverlap="1" wp14:anchorId="6C4C534E" wp14:editId="4724C7CE">
          <wp:simplePos x="0" y="0"/>
          <wp:positionH relativeFrom="column">
            <wp:posOffset>-696280</wp:posOffset>
          </wp:positionH>
          <wp:positionV relativeFrom="paragraph">
            <wp:posOffset>-451298</wp:posOffset>
          </wp:positionV>
          <wp:extent cx="7604125" cy="9903460"/>
          <wp:effectExtent l="0" t="0" r="0" b="254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4309A" w:rsidRDefault="00570B52" w:rsidP="0034309A">
    <w:pPr>
      <w:pStyle w:val="Encabezado"/>
      <w:tabs>
        <w:tab w:val="clear" w:pos="4252"/>
        <w:tab w:val="clear" w:pos="8504"/>
        <w:tab w:val="left" w:pos="2326"/>
      </w:tabs>
      <w:jc w:val="right"/>
    </w:pPr>
  </w:p>
  <w:tbl>
    <w:tblPr>
      <w:tblW w:w="5103" w:type="dxa"/>
      <w:tblInd w:w="4253" w:type="dxa"/>
      <w:tblLayout w:type="fixed"/>
      <w:tblLook w:val="04A0" w:firstRow="1" w:lastRow="0" w:firstColumn="1" w:lastColumn="0" w:noHBand="0" w:noVBand="1"/>
    </w:tblPr>
    <w:tblGrid>
      <w:gridCol w:w="5103"/>
    </w:tblGrid>
    <w:tr w:rsidR="00801C8F" w:rsidRPr="008F2CCC" w:rsidTr="009110E4">
      <w:tc>
        <w:tcPr>
          <w:tcW w:w="5103" w:type="dxa"/>
          <w:shd w:val="clear" w:color="auto" w:fill="auto"/>
        </w:tcPr>
        <w:p w:rsidR="00801C8F" w:rsidRPr="00801C8F" w:rsidRDefault="00DA7CB3" w:rsidP="009110E4">
          <w:pPr>
            <w:pStyle w:val="Encabezado"/>
            <w:tabs>
              <w:tab w:val="clear" w:pos="4252"/>
              <w:tab w:val="clear" w:pos="8504"/>
              <w:tab w:val="left" w:pos="2326"/>
            </w:tabs>
            <w:jc w:val="center"/>
            <w:rPr>
              <w:rFonts w:ascii="Palatino Linotype" w:hAnsi="Palatino Linotype" w:cs="Arial"/>
              <w:sz w:val="20"/>
              <w:szCs w:val="20"/>
            </w:rPr>
          </w:pPr>
          <w:r>
            <w:rPr>
              <w:rFonts w:ascii="Palatino Linotype" w:hAnsi="Palatino Linotype" w:cs="Arial"/>
              <w:sz w:val="20"/>
              <w:szCs w:val="20"/>
            </w:rPr>
            <w:t xml:space="preserve">                                                          VOTO PARTICULAR</w:t>
          </w:r>
        </w:p>
      </w:tc>
    </w:tr>
    <w:tr w:rsidR="00801C8F" w:rsidRPr="008F2CCC" w:rsidTr="009110E4">
      <w:tc>
        <w:tcPr>
          <w:tcW w:w="5103" w:type="dxa"/>
          <w:shd w:val="clear" w:color="auto" w:fill="auto"/>
        </w:tcPr>
        <w:p w:rsidR="00801C8F" w:rsidRPr="00801C8F" w:rsidRDefault="00DA7CB3" w:rsidP="00117117">
          <w:pPr>
            <w:pStyle w:val="Encabezado"/>
            <w:tabs>
              <w:tab w:val="clear" w:pos="4252"/>
              <w:tab w:val="clear" w:pos="8504"/>
              <w:tab w:val="left" w:pos="2326"/>
            </w:tabs>
            <w:rPr>
              <w:rFonts w:ascii="Palatino Linotype" w:hAnsi="Palatino Linotype" w:cs="Arial"/>
              <w:sz w:val="20"/>
              <w:szCs w:val="20"/>
            </w:rPr>
          </w:pPr>
          <w:r>
            <w:rPr>
              <w:rFonts w:ascii="Palatino Linotype" w:hAnsi="Palatino Linotype" w:cs="Arial"/>
              <w:sz w:val="20"/>
              <w:szCs w:val="20"/>
            </w:rPr>
            <w:t xml:space="preserve">  </w:t>
          </w:r>
          <w:r w:rsidRPr="00801C8F">
            <w:rPr>
              <w:rFonts w:ascii="Palatino Linotype" w:hAnsi="Palatino Linotype" w:cs="Arial"/>
              <w:sz w:val="20"/>
              <w:szCs w:val="20"/>
            </w:rPr>
            <w:t xml:space="preserve">RECURSO DE REVISIÓN </w:t>
          </w:r>
          <w:r>
            <w:rPr>
              <w:rFonts w:ascii="Palatino Linotype" w:hAnsi="Palatino Linotype" w:cs="Arial"/>
              <w:sz w:val="20"/>
              <w:szCs w:val="20"/>
            </w:rPr>
            <w:t>0</w:t>
          </w:r>
          <w:r w:rsidR="00117117">
            <w:rPr>
              <w:rFonts w:ascii="Palatino Linotype" w:hAnsi="Palatino Linotype" w:cs="Arial"/>
              <w:sz w:val="20"/>
              <w:szCs w:val="20"/>
            </w:rPr>
            <w:t>3864</w:t>
          </w:r>
          <w:r>
            <w:rPr>
              <w:rFonts w:ascii="Palatino Linotype" w:hAnsi="Palatino Linotype" w:cs="Arial"/>
              <w:sz w:val="20"/>
              <w:szCs w:val="20"/>
            </w:rPr>
            <w:t>/INFOEM/IP/RR/2018</w:t>
          </w:r>
        </w:p>
      </w:tc>
    </w:tr>
  </w:tbl>
  <w:p w:rsidR="00066B13" w:rsidRDefault="00570B52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58857" o:spid="_x0000_s2050" type="#_x0000_t136" style="position:absolute;left:0;text-align:left;margin-left:0;margin-top:0;width:644.15pt;height:83pt;rotation:315;z-index:-251658240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60pt" string="VOTO PARTICULAR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570B52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58855" o:spid="_x0000_s2051" type="#_x0000_t136" style="position:absolute;margin-left:0;margin-top:0;width:648.8pt;height:54.05pt;rotation:315;z-index:-251657216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 CONCURREN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16172"/>
    <w:multiLevelType w:val="hybridMultilevel"/>
    <w:tmpl w:val="82CAE9BE"/>
    <w:lvl w:ilvl="0" w:tplc="CDEC5E8E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73666"/>
    <w:multiLevelType w:val="hybridMultilevel"/>
    <w:tmpl w:val="5234EB5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63FAE"/>
    <w:multiLevelType w:val="hybridMultilevel"/>
    <w:tmpl w:val="EB98A30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056662"/>
    <w:multiLevelType w:val="hybridMultilevel"/>
    <w:tmpl w:val="37EA8C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117"/>
    <w:rsid w:val="00064889"/>
    <w:rsid w:val="00117117"/>
    <w:rsid w:val="00182481"/>
    <w:rsid w:val="001C15A9"/>
    <w:rsid w:val="00276C87"/>
    <w:rsid w:val="002A256D"/>
    <w:rsid w:val="004F01BE"/>
    <w:rsid w:val="00570B52"/>
    <w:rsid w:val="005834C0"/>
    <w:rsid w:val="00800E92"/>
    <w:rsid w:val="0097297C"/>
    <w:rsid w:val="009B1096"/>
    <w:rsid w:val="00A44523"/>
    <w:rsid w:val="00A97DF8"/>
    <w:rsid w:val="00C23B43"/>
    <w:rsid w:val="00C9714C"/>
    <w:rsid w:val="00DA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8C6067DC-B607-4872-AC6C-96890D49C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7117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117117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117117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17117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34"/>
    <w:qFormat/>
    <w:rsid w:val="00117117"/>
    <w:pPr>
      <w:ind w:left="720"/>
      <w:contextualSpacing/>
    </w:p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11711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aliases w:val="Francesa"/>
    <w:link w:val="SinespaciadoCar"/>
    <w:uiPriority w:val="1"/>
    <w:qFormat/>
    <w:rsid w:val="00117117"/>
    <w:pPr>
      <w:spacing w:after="0" w:line="240" w:lineRule="auto"/>
    </w:pPr>
  </w:style>
  <w:style w:type="character" w:customStyle="1" w:styleId="SinespaciadoCar">
    <w:name w:val="Sin espaciado Car"/>
    <w:aliases w:val="Francesa Car"/>
    <w:link w:val="Sinespaciado"/>
    <w:uiPriority w:val="1"/>
    <w:locked/>
    <w:rsid w:val="00117117"/>
  </w:style>
  <w:style w:type="paragraph" w:styleId="Textonotapie">
    <w:name w:val="footnote text"/>
    <w:basedOn w:val="Normal"/>
    <w:link w:val="TextonotapieCar"/>
    <w:uiPriority w:val="99"/>
    <w:semiHidden/>
    <w:unhideWhenUsed/>
    <w:rsid w:val="0011711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17117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117117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15A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15A9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856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2018-12-10T23:27:00Z</cp:lastPrinted>
  <dcterms:created xsi:type="dcterms:W3CDTF">2018-12-10T17:03:00Z</dcterms:created>
  <dcterms:modified xsi:type="dcterms:W3CDTF">2019-01-23T20:17:00Z</dcterms:modified>
</cp:coreProperties>
</file>